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61" w:rsidRDefault="006D223B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 xml:space="preserve">Rodzina jaka jest – każdy widzi. 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Rozmowa o blaskach i cieniach życia</w:t>
      </w:r>
      <w:bookmarkStart w:id="0" w:name="_GoBack"/>
      <w:bookmarkEnd w:id="0"/>
      <w:r>
        <w:rPr>
          <w:rFonts w:ascii="Segoe UI" w:hAnsi="Segoe UI" w:cs="Segoe UI"/>
          <w:b/>
          <w:bCs/>
          <w:sz w:val="24"/>
          <w:szCs w:val="24"/>
          <w:lang w:val="pl-PL"/>
        </w:rPr>
        <w:t xml:space="preserve"> w rodzinie. </w:t>
      </w:r>
    </w:p>
    <w:p w:rsidR="00EE7B61" w:rsidRDefault="006D223B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  <w:t>Anna Miodyńska</w:t>
      </w:r>
    </w:p>
    <w:p w:rsidR="00EE7B61" w:rsidRDefault="006D223B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 xml:space="preserve">Przed wyborem tematu spotkania przy wspólnym stole koniecznie przeczytaj podręcznik </w:t>
      </w:r>
      <w:hyperlink r:id="rId8" w:history="1">
        <w:r>
          <w:rPr>
            <w:rFonts w:ascii="Segoe UI" w:hAnsi="Segoe UI" w:cs="Segoe UI"/>
            <w:i/>
            <w:color w:val="0585C7"/>
            <w:u w:val="single"/>
          </w:rPr>
          <w:t>„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Rozmowy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przy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</w:t>
        </w:r>
        <w:proofErr w:type="spellStart"/>
        <w:r>
          <w:rPr>
            <w:rFonts w:ascii="Segoe UI" w:hAnsi="Segoe UI" w:cs="Segoe UI"/>
            <w:i/>
            <w:color w:val="0585C7"/>
            <w:u w:val="single"/>
          </w:rPr>
          <w:t>wspólnym</w:t>
        </w:r>
        <w:proofErr w:type="spellEnd"/>
        <w:r>
          <w:rPr>
            <w:rFonts w:ascii="Segoe UI" w:hAnsi="Segoe UI" w:cs="Segoe UI"/>
            <w:i/>
            <w:color w:val="0585C7"/>
            <w:u w:val="single"/>
          </w:rPr>
          <w:t xml:space="preserve"> stole”</w:t>
        </w:r>
      </w:hyperlink>
      <w:r>
        <w:rPr>
          <w:rFonts w:ascii="Segoe UI" w:hAnsi="Segoe UI" w:cs="Segoe UI"/>
          <w:i/>
          <w:lang w:val="pl-PL"/>
        </w:rPr>
        <w:t xml:space="preserve"> dostępny na portalu biblioteki.org. Pozwoli on zaplanować przebieg spotkania i dopasować techniki </w:t>
      </w:r>
      <w:proofErr w:type="spellStart"/>
      <w:r>
        <w:rPr>
          <w:rFonts w:ascii="Segoe UI" w:hAnsi="Segoe UI" w:cs="Segoe UI"/>
          <w:i/>
          <w:lang w:val="pl-PL"/>
        </w:rPr>
        <w:t>moderacyjne</w:t>
      </w:r>
      <w:proofErr w:type="spellEnd"/>
      <w:r>
        <w:rPr>
          <w:rFonts w:ascii="Segoe UI" w:hAnsi="Segoe UI" w:cs="Segoe UI"/>
          <w:i/>
          <w:lang w:val="pl-PL"/>
        </w:rPr>
        <w:t xml:space="preserve"> do potrzeb osób w nim uczestniczących oraz do tematu, wokół którego te osoby się spotkają. Znajdziesz tam wskazówki, o co zadbać przed spotkaniem i w jego trakcie. Możesz też skorzystać z uniwersalnego wzoru scenariusza oraz opisów przydatnych technik </w:t>
      </w:r>
      <w:proofErr w:type="spellStart"/>
      <w:r>
        <w:rPr>
          <w:rFonts w:ascii="Segoe UI" w:hAnsi="Segoe UI" w:cs="Segoe UI"/>
          <w:i/>
          <w:lang w:val="pl-PL"/>
        </w:rPr>
        <w:t>facylitacyjnych</w:t>
      </w:r>
      <w:proofErr w:type="spellEnd"/>
      <w:r>
        <w:rPr>
          <w:rFonts w:ascii="Segoe UI" w:hAnsi="Segoe UI" w:cs="Segoe UI"/>
          <w:i/>
          <w:lang w:val="pl-PL"/>
        </w:rPr>
        <w:t xml:space="preserve">. </w:t>
      </w:r>
    </w:p>
    <w:p w:rsidR="00EE7B61" w:rsidRDefault="006D223B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Rozmowa przy wspólnym stole </w:t>
      </w:r>
      <w:r>
        <w:rPr>
          <w:rFonts w:ascii="Segoe UI" w:hAnsi="Segoe UI" w:cs="Segoe UI"/>
          <w:i/>
          <w:u w:val="single"/>
          <w:lang w:val="pl-PL"/>
        </w:rPr>
        <w:t>nie jest</w:t>
      </w:r>
      <w:r>
        <w:rPr>
          <w:rFonts w:ascii="Segoe UI" w:hAnsi="Segoe UI" w:cs="Segoe UI"/>
          <w:i/>
          <w:lang w:val="pl-PL"/>
        </w:rPr>
        <w:t xml:space="preserve"> wykładem, warsztatem, debatą ani spotkaniem towarzyskim. Zawiera elementy wszystkich tych form, ale jej głównym celem jest </w:t>
      </w:r>
      <w:r>
        <w:rPr>
          <w:rFonts w:ascii="Segoe UI" w:hAnsi="Segoe UI" w:cs="Segoe UI"/>
          <w:i/>
          <w:u w:val="single"/>
          <w:lang w:val="pl-PL"/>
        </w:rPr>
        <w:t>wysłuchanie różnych punktów widzenia</w:t>
      </w:r>
      <w:r>
        <w:rPr>
          <w:rFonts w:ascii="Segoe UI" w:hAnsi="Segoe UI" w:cs="Segoe UI"/>
          <w:i/>
          <w:lang w:val="pl-PL"/>
        </w:rPr>
        <w:t xml:space="preserve">. Tylko tyle i aż tyle. Aby osoby uczestniczące mogły się wypowiadać szczerze i mieć poczucie komfortu, to zasady, o których przeczytacie w podręczniku, muszą być przestrzegane. Im bardziej różnorodne postawy, opinie i wartości spotkają przy wspólnym stole, tym lepiej. </w:t>
      </w:r>
    </w:p>
    <w:p w:rsidR="00EE7B61" w:rsidRDefault="00EE7B61">
      <w:pPr>
        <w:rPr>
          <w:rFonts w:ascii="Segoe UI" w:hAnsi="Segoe UI" w:cs="Segoe UI"/>
          <w:i/>
          <w:lang w:val="pl-PL"/>
        </w:rPr>
      </w:pPr>
    </w:p>
    <w:p w:rsidR="00EE7B61" w:rsidRDefault="006D223B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EE7B61" w:rsidRDefault="006D223B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tematu, pozwoli Ci na skuteczną komunikację – zarówno na etapie zapraszania na spotkanie, jak i podczas jego moderowania.</w:t>
      </w:r>
    </w:p>
    <w:p w:rsidR="00EE7B61" w:rsidRDefault="00EE7B61">
      <w:pPr>
        <w:rPr>
          <w:rFonts w:ascii="Segoe UI" w:hAnsi="Segoe UI" w:cs="Segoe UI"/>
          <w:lang w:val="pl-PL"/>
        </w:rPr>
        <w:sectPr w:rsidR="00EE7B6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EE7B61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Każdy z nas, na jakimś etapie życia, przeżywa rozterki związane z relacjami w rodzinie. 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Model rodziny w ostatnich latach się zmienia – doświadczamy tego i o tym słyszymy.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Rodzina nas wzmacnia i jesteśmy jej winni wzajemność. Czy może nas także ograniczać? Jeżeli tak – jak sobie z tym poradzić?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EE7B61" w:rsidRDefault="00EE7B61">
      <w:pPr>
        <w:rPr>
          <w:rFonts w:ascii="Segoe UI" w:hAnsi="Segoe UI" w:cs="Segoe UI"/>
          <w:lang w:val="pl-PL"/>
        </w:rPr>
      </w:pPr>
    </w:p>
    <w:p w:rsidR="00EE7B61" w:rsidRDefault="006D223B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bCs/>
          <w:lang w:val="pl-PL"/>
        </w:rPr>
        <w:t>Co osoby uczestniczące wyniosą z tego spotkania?</w:t>
      </w:r>
      <w:r>
        <w:rPr>
          <w:rFonts w:ascii="Segoe UI" w:hAnsi="Segoe UI" w:cs="Segoe UI"/>
          <w:lang w:val="pl-PL"/>
        </w:rPr>
        <w:t xml:space="preserve"> </w:t>
      </w:r>
    </w:p>
    <w:p w:rsidR="00EE7B61" w:rsidRDefault="006D223B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Jeśli nazwiesz korzyści, jakie osoby uczestniczące mogą wynieść ze spotkania, łatwiej Ci będzie zaprosić mieszkanki i mieszkańców Twojej miejscowości do wspólnej rozmowy.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EE7B61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lastRenderedPageBreak/>
              <w:t>Autor/ka opracowania tematu</w:t>
            </w:r>
          </w:p>
        </w:tc>
        <w:tc>
          <w:tcPr>
            <w:tcW w:w="4261" w:type="dxa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Poznają różne postawy wobec wyzwań, jakie niesie życie w rodzinie.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Zobaczą, że wiele (czasem też trudnych) doświadczeń związanych z relacjami w rodzinie jest bardziej powszechnych niż sądzimy.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Usłyszą o tym, jak inne osoby czerpią siłę i radość z życia w rodzinach oraz jak radzą sobie z wyzwaniami i problemami.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EE7B61" w:rsidRDefault="00EE7B61">
      <w:pPr>
        <w:rPr>
          <w:rFonts w:ascii="Segoe UI" w:hAnsi="Segoe UI" w:cs="Segoe UI"/>
          <w:b/>
          <w:bCs/>
          <w:lang w:val="pl-PL"/>
        </w:rPr>
      </w:pPr>
    </w:p>
    <w:p w:rsidR="00EE7B61" w:rsidRDefault="006D223B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Sformułowania oraz ważne pytania związane tematem – przydatne przy opracowaniu zaproszenia oraz podczas prowadzenia spotkania</w:t>
      </w:r>
    </w:p>
    <w:p w:rsidR="00EE7B61" w:rsidRDefault="006D223B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unikać języka bardzo formalnego, eksperckiego czy pełnego ogólników. Słowa i frazy, które wiążą się z danym tematem, warto wykorzystać,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5"/>
        <w:gridCol w:w="4141"/>
      </w:tblGrid>
      <w:tr w:rsidR="00EE7B61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Rodzina jako bezpieczna przestrzeń rozwoju i miłości, ale też przestrzeń, w której rodzą się trudne emocje.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Jak zmienia się definicja wspólnoty, którą nazywamy rodziną?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Poznanie doświadczeń różnych osób związanych z relacjami w rodzinie; przedefiniowanie lub umocnienie własnych  przekonań na ten temat.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EE7B61" w:rsidRDefault="00EE7B61">
      <w:pPr>
        <w:rPr>
          <w:rFonts w:ascii="Segoe UI" w:hAnsi="Segoe UI" w:cs="Segoe UI"/>
          <w:color w:val="0585C7"/>
          <w:lang w:val="pl-PL"/>
        </w:rPr>
      </w:pPr>
    </w:p>
    <w:p w:rsidR="00EE7B61" w:rsidRDefault="006D223B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Kogo zaprosić na spotkanie, o kim nie zapomnieć?</w:t>
      </w:r>
    </w:p>
    <w:p w:rsidR="00EE7B61" w:rsidRDefault="006D223B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Niezależnie od tego, czy zapraszamy imiennie czy też kierujemy do społeczności zaproszenie otwarte, ważna jest różnorodność rozmówców oraz ich gotowość do słuchania się nawzajem. Pamiętaj o tym, że różne punkty widzenia i różnorodność doświadczeń czynią rozmowę ciekawą i rozwijającą. Dlatego wypisz, kto powinien w takim spotkaniu uczestniczyć: mogą to być konkretne osoby lub przedstawicielki i przedstawiciele różnych grup (wiekowych, zainteresowań, zawodowych, 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8"/>
        <w:gridCol w:w="4138"/>
      </w:tblGrid>
      <w:tr w:rsidR="00EE7B61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Osoba z wielopokoleniowej / wielodzietnej rodziny, która podzieli się nie tylko blaskami, ale i cieniami życia w tak dużej wspólnocie rodzinnej – może to być ktoś spoza lokalnego środowiska. Ta osoba uruchomi różne wątki w dyskusji.  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 xml:space="preserve">Ktoś, kto zdecydował, że będzie żył bez relacji z bliskimi. 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Osoba / osoby z rodzin nieoczywistych, np. adopcyjnych, patchworkowych, osoby bezdzietne z wyboru lub jednopłciowi rodzice.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Rozmówcy powinni reprezentować różne pokolenia i modele życia. 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Nie ma szczególnej potrzeby zapraszania eksperta – w zakresie tego tematu wszyscy nimi jesteśmy.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EE7B61" w:rsidRDefault="00EE7B61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EE7B61" w:rsidRDefault="006D223B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 xml:space="preserve">Jak zadbać o komfort osób uczestniczących </w:t>
      </w:r>
      <w:r>
        <w:rPr>
          <w:rFonts w:ascii="Segoe UI" w:hAnsi="Segoe UI" w:cs="Segoe UI"/>
          <w:b/>
          <w:bCs/>
          <w:u w:val="single"/>
          <w:lang w:val="pl-PL"/>
        </w:rPr>
        <w:t>w tym</w:t>
      </w:r>
      <w:r>
        <w:rPr>
          <w:rFonts w:ascii="Segoe UI" w:hAnsi="Segoe UI" w:cs="Segoe UI"/>
          <w:b/>
          <w:bCs/>
          <w:lang w:val="pl-PL"/>
        </w:rPr>
        <w:t xml:space="preserve"> spotkaniu?</w:t>
      </w:r>
    </w:p>
    <w:p w:rsidR="00EE7B61" w:rsidRDefault="006D223B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przewidzieć ryzyka: co może zahamować/zniechęcić rozmówców? Warto też 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EE7B61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Zaznaczyć na początku i trzymać się założenia, że nie zakładamy lepszych i gorszych modeli rodziny. Zakładamy jedynie, że wartościami niezbędnymi do życia są miłość i zrozumienie, ale można je znaleźć zarówno w tradycyjnej rodzinie, jak i poza nią.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Szczególnie przy tej rozmowie dbajmy o to, by nie oceniać. Bądźmy – na użytek tego spotkania – jak dobra rodzina: słuchajmy się, akceptujmy i bądźmy życzliwi.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Można to spotkanie okrasić miłym gestem, np.: każdy na koniec wypisuje na pocztówce (trzeba je zorganizować, można wydrukować samodzielnie fajne kartki albo poprosić dzieci na zajęciach o narysowanie na nich obrazków) życzenia i losowo rozdajemy je uczestnikom. 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Znając swoich rozmówców, wprowadzamy takie wątki, na jakie są oni gotowi, jednak warto zadbać o to, aby to spotkanie było czymś głębszym i bardziej rozwijającym niż wymiana idealizowanych wspomnień z dzieciństwa.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EE7B61" w:rsidRDefault="006D223B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Może się zdarzyć, że komuś „puszczą emocje”, na przykład z powodu smutnych wspomnień. W podręczniku mamy porady dotyczące trudnych sytuacji. </w:t>
            </w:r>
          </w:p>
        </w:tc>
        <w:tc>
          <w:tcPr>
            <w:tcW w:w="4261" w:type="dxa"/>
            <w:vAlign w:val="center"/>
          </w:tcPr>
          <w:p w:rsidR="00EE7B61" w:rsidRDefault="00EE7B61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EE7B61" w:rsidRDefault="00EE7B61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3233B8" w:rsidRDefault="003233B8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EE7B61" w:rsidRDefault="006D223B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lastRenderedPageBreak/>
        <w:t>Pomoce do wykorzystania</w:t>
      </w:r>
    </w:p>
    <w:p w:rsidR="00EE7B61" w:rsidRDefault="006D223B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W ramach wstępu lub podsumowania spotkania warto pokazać fragment filmu, odnieść się do publikacji lub przeprowadzić ćwiczenie odwołujące się do doświadczenia osób uczestniczących. Można skorzystać z następujących materiałów: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56"/>
        <w:gridCol w:w="4266"/>
      </w:tblGrid>
      <w:tr w:rsidR="00EE7B61">
        <w:trPr>
          <w:trHeight w:val="567"/>
        </w:trPr>
        <w:tc>
          <w:tcPr>
            <w:tcW w:w="4256" w:type="dxa"/>
            <w:shd w:val="clear" w:color="auto" w:fill="auto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aktualne na 28.01.2020 r</w:t>
            </w:r>
            <w:r w:rsidR="003233B8">
              <w:rPr>
                <w:rFonts w:ascii="Segoe UI" w:hAnsi="Segoe UI" w:cs="Segoe UI"/>
                <w:i/>
                <w:color w:val="F18757"/>
                <w:lang w:val="pl-PL"/>
              </w:rPr>
              <w:t>.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6D223B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EE7B61">
        <w:trPr>
          <w:trHeight w:val="2177"/>
        </w:trPr>
        <w:tc>
          <w:tcPr>
            <w:tcW w:w="4256" w:type="dxa"/>
            <w:shd w:val="clear" w:color="auto" w:fill="auto"/>
            <w:vAlign w:val="center"/>
          </w:tcPr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sz w:val="21"/>
                <w:szCs w:val="22"/>
                <w:lang w:val="pl-PL"/>
              </w:rPr>
            </w:pPr>
            <w:r>
              <w:rPr>
                <w:rFonts w:ascii="Segoe UI" w:hAnsi="Segoe UI" w:cs="Segoe UI"/>
                <w:sz w:val="21"/>
                <w:szCs w:val="22"/>
                <w:lang w:val="pl-PL"/>
              </w:rPr>
              <w:t xml:space="preserve">Polska rodzina w świetle wybranych badań </w:t>
            </w:r>
            <w:r>
              <w:rPr>
                <w:rFonts w:ascii="Segoe UI" w:hAnsi="Segoe UI" w:cs="Segoe UI"/>
                <w:lang w:val="pl-PL"/>
              </w:rPr>
              <w:t>statystycznych.</w:t>
            </w:r>
          </w:p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sz w:val="21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1"/>
                <w:szCs w:val="22"/>
              </w:rPr>
              <w:t>Paweł</w:t>
            </w:r>
            <w:proofErr w:type="spellEnd"/>
            <w:r>
              <w:rPr>
                <w:rFonts w:ascii="Segoe UI" w:hAnsi="Segoe UI" w:cs="Segoe UI"/>
                <w:sz w:val="21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2"/>
              </w:rPr>
              <w:t>Ulman</w:t>
            </w:r>
            <w:proofErr w:type="spellEnd"/>
            <w:r>
              <w:rPr>
                <w:rFonts w:ascii="Segoe UI" w:hAnsi="Segoe UI" w:cs="Segoe UI"/>
                <w:sz w:val="21"/>
                <w:szCs w:val="22"/>
                <w:lang w:val="pl-PL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1"/>
                <w:szCs w:val="22"/>
              </w:rPr>
              <w:t>Uniwersytet</w:t>
            </w:r>
            <w:proofErr w:type="spellEnd"/>
            <w:r>
              <w:rPr>
                <w:rFonts w:ascii="Segoe UI" w:hAnsi="Segoe UI" w:cs="Segoe UI"/>
                <w:sz w:val="21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2"/>
              </w:rPr>
              <w:t>Papieski</w:t>
            </w:r>
            <w:proofErr w:type="spellEnd"/>
            <w:r>
              <w:rPr>
                <w:rFonts w:ascii="Segoe UI" w:hAnsi="Segoe UI" w:cs="Segoe UI"/>
                <w:sz w:val="21"/>
                <w:szCs w:val="22"/>
              </w:rPr>
              <w:t xml:space="preserve"> Jana </w:t>
            </w:r>
            <w:proofErr w:type="spellStart"/>
            <w:r>
              <w:rPr>
                <w:rFonts w:ascii="Segoe UI" w:hAnsi="Segoe UI" w:cs="Segoe UI"/>
                <w:sz w:val="21"/>
                <w:szCs w:val="22"/>
              </w:rPr>
              <w:t>Pawła</w:t>
            </w:r>
            <w:proofErr w:type="spellEnd"/>
            <w:r>
              <w:rPr>
                <w:rFonts w:ascii="Segoe UI" w:hAnsi="Segoe UI" w:cs="Segoe UI"/>
                <w:sz w:val="21"/>
                <w:szCs w:val="22"/>
              </w:rPr>
              <w:t xml:space="preserve"> II w </w:t>
            </w:r>
            <w:proofErr w:type="spellStart"/>
            <w:r>
              <w:rPr>
                <w:rFonts w:ascii="Segoe UI" w:hAnsi="Segoe UI" w:cs="Segoe UI"/>
                <w:sz w:val="21"/>
                <w:szCs w:val="22"/>
              </w:rPr>
              <w:t>Krakowie</w:t>
            </w:r>
            <w:proofErr w:type="spellEnd"/>
            <w:r>
              <w:rPr>
                <w:rFonts w:ascii="Segoe UI" w:hAnsi="Segoe UI" w:cs="Segoe UI"/>
                <w:sz w:val="21"/>
                <w:szCs w:val="22"/>
                <w:lang w:val="pl-PL"/>
              </w:rPr>
              <w:t>.</w:t>
            </w:r>
            <w:r>
              <w:rPr>
                <w:rFonts w:ascii="Segoe UI" w:hAnsi="Segoe UI" w:cs="Segoe UI"/>
                <w:sz w:val="21"/>
                <w:szCs w:val="22"/>
              </w:rPr>
              <w:t xml:space="preserve"> </w:t>
            </w:r>
          </w:p>
          <w:p w:rsidR="00EE7B61" w:rsidRDefault="00F742E0">
            <w:pPr>
              <w:widowControl/>
              <w:spacing w:after="0"/>
              <w:jc w:val="left"/>
              <w:rPr>
                <w:rFonts w:ascii="Segoe UI" w:hAnsi="Segoe UI" w:cs="Segoe UI"/>
                <w:color w:val="0585C7"/>
                <w:u w:val="single"/>
                <w:lang w:val="pl-PL"/>
              </w:rPr>
            </w:pPr>
            <w:hyperlink r:id="rId13" w:history="1">
              <w:r w:rsidR="006D223B">
                <w:rPr>
                  <w:rStyle w:val="Hipercze"/>
                  <w:rFonts w:ascii="Segoe UI" w:hAnsi="Segoe UI"/>
                  <w:color w:val="0585C7"/>
                  <w:sz w:val="21"/>
                  <w:szCs w:val="22"/>
                  <w:lang w:val="pl-PL"/>
                </w:rPr>
                <w:t>http://cejsh.icm.edu.pl/cejsh/element/bwmeta1.element.ojs-doi-10_15633_ssc_762</w:t>
              </w:r>
            </w:hyperlink>
            <w:r w:rsidR="006D223B">
              <w:rPr>
                <w:rFonts w:ascii="Segoe UI" w:hAnsi="Segoe UI"/>
                <w:color w:val="0585C7"/>
                <w:sz w:val="21"/>
                <w:szCs w:val="22"/>
                <w:u w:val="single"/>
                <w:lang w:val="pl-PL"/>
              </w:rPr>
              <w:t xml:space="preserve"> 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sz w:val="21"/>
                <w:szCs w:val="22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Na s. 158 jest wykres: Struktura gospodarstw domo</w:t>
            </w:r>
            <w:r>
              <w:rPr>
                <w:rFonts w:ascii="Segoe UI" w:hAnsi="Segoe UI" w:cs="Segoe UI"/>
                <w:sz w:val="21"/>
                <w:szCs w:val="22"/>
                <w:lang w:val="pl-PL"/>
              </w:rPr>
              <w:t>wych ze względu na liczbę osób: ogółem, w miastach i na wsi (w proc.).</w:t>
            </w:r>
          </w:p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sz w:val="21"/>
                <w:szCs w:val="22"/>
                <w:lang w:val="pl-PL"/>
              </w:rPr>
              <w:t>Można od tego wykresu zacząć rozmowę, pytając, c</w:t>
            </w:r>
            <w:r>
              <w:rPr>
                <w:rFonts w:ascii="Segoe UI" w:hAnsi="Segoe UI" w:cs="Segoe UI"/>
                <w:lang w:val="pl-PL"/>
              </w:rPr>
              <w:t>zy rozmówców coś w nim  zaskakuje?</w:t>
            </w:r>
          </w:p>
        </w:tc>
      </w:tr>
      <w:tr w:rsidR="00EE7B61">
        <w:trPr>
          <w:trHeight w:val="850"/>
        </w:trPr>
        <w:tc>
          <w:tcPr>
            <w:tcW w:w="4256" w:type="dxa"/>
            <w:shd w:val="clear" w:color="auto" w:fill="auto"/>
            <w:vAlign w:val="center"/>
          </w:tcPr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„Dlaczego warto być frustrującym?</w:t>
            </w:r>
            <w:r>
              <w:rPr>
                <w:rFonts w:ascii="Segoe UI" w:hAnsi="Segoe UI" w:cs="Segoe UI"/>
                <w:color w:val="0585C7"/>
                <w:lang w:val="pl-PL"/>
              </w:rPr>
              <w:t xml:space="preserve"> </w:t>
            </w:r>
            <w:r>
              <w:rPr>
                <w:rFonts w:ascii="Segoe UI" w:hAnsi="Segoe UI" w:cs="Segoe UI"/>
                <w:lang w:val="pl-PL"/>
              </w:rPr>
              <w:t xml:space="preserve">Szczęście zaklęte we frustracji” – wystąpienie Natalii Tur na </w:t>
            </w:r>
            <w:proofErr w:type="spellStart"/>
            <w:r>
              <w:rPr>
                <w:rFonts w:ascii="Segoe UI" w:hAnsi="Segoe UI" w:cs="Segoe UI"/>
                <w:lang w:val="pl-PL"/>
              </w:rPr>
              <w:t>TEDxKatowice</w:t>
            </w:r>
            <w:proofErr w:type="spellEnd"/>
            <w:r>
              <w:rPr>
                <w:rFonts w:ascii="Segoe UI" w:hAnsi="Segoe UI" w:cs="Segoe UI"/>
                <w:lang w:val="pl-PL"/>
              </w:rPr>
              <w:t>:</w:t>
            </w:r>
          </w:p>
          <w:p w:rsidR="00EE7B61" w:rsidRDefault="00F742E0">
            <w:pPr>
              <w:widowControl/>
              <w:spacing w:after="0"/>
              <w:jc w:val="left"/>
              <w:rPr>
                <w:rFonts w:ascii="Segoe UI" w:hAnsi="Segoe UI" w:cs="Segoe UI"/>
                <w:color w:val="0585C7"/>
                <w:u w:val="single"/>
                <w:lang w:val="pl-PL"/>
              </w:rPr>
            </w:pPr>
            <w:hyperlink r:id="rId14" w:history="1">
              <w:r w:rsidR="006D223B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https://www.youtube.com/watch?v=9GyT_MeRRyE</w:t>
              </w:r>
            </w:hyperlink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To jest wystąpienie Natalii Tur, socjolożki. Całe lub wybrane fragmenty – to dobry wstęp do rozmowy o rodzinie jako o źródle frustracji, która jest niezbędna dla rozwoju człowieka. Polecam.</w:t>
            </w:r>
          </w:p>
        </w:tc>
      </w:tr>
      <w:tr w:rsidR="00EE7B61">
        <w:trPr>
          <w:trHeight w:val="850"/>
        </w:trPr>
        <w:tc>
          <w:tcPr>
            <w:tcW w:w="4256" w:type="dxa"/>
            <w:shd w:val="clear" w:color="auto" w:fill="auto"/>
            <w:vAlign w:val="center"/>
          </w:tcPr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Piosenka Kabaretu Starszych Panów, „Rodzina, ach, rodzina”:</w:t>
            </w:r>
          </w:p>
          <w:p w:rsidR="00EE7B61" w:rsidRDefault="00F742E0">
            <w:pPr>
              <w:widowControl/>
              <w:spacing w:after="0"/>
              <w:jc w:val="left"/>
              <w:rPr>
                <w:rFonts w:ascii="Segoe UI" w:hAnsi="Segoe UI" w:cs="Segoe UI"/>
                <w:lang w:val="pl-PL"/>
              </w:rPr>
            </w:pPr>
            <w:hyperlink r:id="rId15" w:history="1">
              <w:r w:rsidR="006D223B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https://www.youtube.com/watch?v=DZYZu5mhWsw</w:t>
              </w:r>
            </w:hyperlink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Można zakończyć na wesoło - tą znaną piosenką Starszych Panów.</w:t>
            </w:r>
          </w:p>
        </w:tc>
      </w:tr>
      <w:tr w:rsidR="00EE7B61">
        <w:trPr>
          <w:trHeight w:val="850"/>
        </w:trPr>
        <w:tc>
          <w:tcPr>
            <w:tcW w:w="4256" w:type="dxa"/>
            <w:shd w:val="clear" w:color="auto" w:fill="auto"/>
            <w:vAlign w:val="center"/>
          </w:tcPr>
          <w:p w:rsidR="00EE7B61" w:rsidRDefault="006D223B">
            <w:pPr>
              <w:pStyle w:val="Nagwek1"/>
              <w:widowControl/>
              <w:spacing w:beforeAutospacing="0" w:afterAutospacing="0"/>
              <w:jc w:val="left"/>
              <w:outlineLvl w:val="0"/>
              <w:rPr>
                <w:rFonts w:ascii="Segoe UI" w:eastAsiaTheme="minorEastAsia" w:hAnsi="Segoe UI" w:cs="Segoe UI" w:hint="default"/>
                <w:b w:val="0"/>
                <w:bCs w:val="0"/>
                <w:kern w:val="0"/>
                <w:sz w:val="20"/>
                <w:szCs w:val="20"/>
                <w:lang w:val="pl-PL"/>
              </w:rPr>
            </w:pPr>
            <w:r>
              <w:rPr>
                <w:rFonts w:ascii="Segoe UI" w:eastAsiaTheme="minorEastAsia" w:hAnsi="Segoe UI" w:cs="Segoe UI" w:hint="default"/>
                <w:b w:val="0"/>
                <w:bCs w:val="0"/>
                <w:kern w:val="0"/>
                <w:sz w:val="20"/>
                <w:szCs w:val="20"/>
                <w:lang w:val="pl-PL"/>
              </w:rPr>
              <w:t xml:space="preserve">Książka: P. </w:t>
            </w:r>
            <w:proofErr w:type="spellStart"/>
            <w:r>
              <w:rPr>
                <w:rFonts w:ascii="Segoe UI" w:eastAsiaTheme="minorEastAsia" w:hAnsi="Segoe UI" w:cs="Segoe UI" w:hint="default"/>
                <w:b w:val="0"/>
                <w:bCs w:val="0"/>
                <w:kern w:val="0"/>
                <w:sz w:val="20"/>
                <w:szCs w:val="20"/>
                <w:lang w:val="pl-PL"/>
              </w:rPr>
              <w:t>Tomalski</w:t>
            </w:r>
            <w:proofErr w:type="spellEnd"/>
            <w:r>
              <w:rPr>
                <w:rFonts w:ascii="Segoe UI" w:eastAsiaTheme="minorEastAsia" w:hAnsi="Segoe UI" w:cs="Segoe UI" w:hint="default"/>
                <w:b w:val="0"/>
                <w:bCs w:val="0"/>
                <w:kern w:val="0"/>
                <w:sz w:val="20"/>
                <w:szCs w:val="20"/>
                <w:lang w:val="pl-PL"/>
              </w:rPr>
              <w:t xml:space="preserve">, Nietypowe rodziny, </w:t>
            </w:r>
            <w:hyperlink r:id="rId16" w:history="1">
              <w:r>
                <w:rPr>
                  <w:rFonts w:ascii="Segoe UI" w:eastAsiaTheme="minorEastAsia" w:hAnsi="Segoe UI" w:cs="Segoe UI" w:hint="default"/>
                  <w:b w:val="0"/>
                  <w:bCs w:val="0"/>
                  <w:kern w:val="0"/>
                  <w:sz w:val="20"/>
                  <w:szCs w:val="20"/>
                  <w:lang w:val="pl-PL"/>
                </w:rPr>
                <w:t>Wydawnictwa Uniwersytetu Warszawskiego</w:t>
              </w:r>
            </w:hyperlink>
            <w:r>
              <w:rPr>
                <w:rFonts w:ascii="Segoe UI" w:eastAsiaTheme="minorEastAsia" w:hAnsi="Segoe UI" w:cs="Segoe UI" w:hint="default"/>
                <w:b w:val="0"/>
                <w:bCs w:val="0"/>
                <w:kern w:val="0"/>
                <w:sz w:val="20"/>
                <w:szCs w:val="20"/>
                <w:lang w:val="pl-PL"/>
              </w:rPr>
              <w:t>, 2007.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6D223B">
            <w:pPr>
              <w:widowControl/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Jeżeli chcemy włączyć wątek rodzin jednopłciowych, można skorzystać z opisu jednej z takich rodzin z tej książki.</w:t>
            </w:r>
          </w:p>
        </w:tc>
      </w:tr>
      <w:tr w:rsidR="00EE7B61">
        <w:trPr>
          <w:trHeight w:val="850"/>
        </w:trPr>
        <w:tc>
          <w:tcPr>
            <w:tcW w:w="4256" w:type="dxa"/>
            <w:shd w:val="clear" w:color="auto" w:fill="auto"/>
            <w:vAlign w:val="center"/>
          </w:tcPr>
          <w:p w:rsidR="00EE7B61" w:rsidRDefault="00EE7B61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EE7B61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56" w:type="dxa"/>
            <w:shd w:val="clear" w:color="auto" w:fill="auto"/>
            <w:vAlign w:val="center"/>
          </w:tcPr>
          <w:p w:rsidR="00EE7B61" w:rsidRDefault="00EE7B61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EE7B61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56" w:type="dxa"/>
            <w:shd w:val="clear" w:color="auto" w:fill="auto"/>
            <w:vAlign w:val="center"/>
          </w:tcPr>
          <w:p w:rsidR="00EE7B61" w:rsidRDefault="00EE7B61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EE7B61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EE7B61">
        <w:trPr>
          <w:trHeight w:val="850"/>
        </w:trPr>
        <w:tc>
          <w:tcPr>
            <w:tcW w:w="4256" w:type="dxa"/>
            <w:shd w:val="clear" w:color="auto" w:fill="auto"/>
            <w:vAlign w:val="center"/>
          </w:tcPr>
          <w:p w:rsidR="00EE7B61" w:rsidRDefault="00EE7B61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EE7B61" w:rsidRDefault="00EE7B61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</w:tbl>
    <w:p w:rsidR="00EE7B61" w:rsidRDefault="00EE7B61">
      <w:pPr>
        <w:rPr>
          <w:rFonts w:ascii="Segoe UI" w:hAnsi="Segoe UI" w:cs="Segoe UI"/>
          <w:lang w:val="pl-PL"/>
        </w:rPr>
      </w:pPr>
    </w:p>
    <w:sectPr w:rsidR="00EE7B61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E0" w:rsidRDefault="00F742E0">
      <w:pPr>
        <w:spacing w:after="0" w:line="240" w:lineRule="auto"/>
      </w:pPr>
      <w:r>
        <w:separator/>
      </w:r>
    </w:p>
  </w:endnote>
  <w:endnote w:type="continuationSeparator" w:id="0">
    <w:p w:rsidR="00F742E0" w:rsidRDefault="00F7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</w:sdtPr>
    <w:sdtEndPr/>
    <w:sdtContent>
      <w:p w:rsidR="00EE7B61" w:rsidRDefault="006D223B">
        <w:pPr>
          <w:pStyle w:val="Stopka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 w:rsidR="003233B8" w:rsidRPr="003233B8">
          <w:rPr>
            <w:rFonts w:ascii="Segoe UI" w:hAnsi="Segoe UI" w:cs="Segoe UI"/>
            <w:noProof/>
            <w:lang w:val="pl-PL"/>
          </w:rPr>
          <w:t>2</w:t>
        </w:r>
        <w:r>
          <w:rPr>
            <w:rFonts w:ascii="Segoe UI" w:hAnsi="Segoe UI" w:cs="Segoe UI"/>
          </w:rPr>
          <w:fldChar w:fldCharType="end"/>
        </w:r>
      </w:p>
    </w:sdtContent>
  </w:sdt>
  <w:p w:rsidR="00EE7B61" w:rsidRDefault="00EE7B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</w:sdtPr>
    <w:sdtEndPr>
      <w:rPr>
        <w:rFonts w:ascii="Segoe UI" w:hAnsi="Segoe UI" w:cs="Segoe UI"/>
      </w:rPr>
    </w:sdtEndPr>
    <w:sdtContent>
      <w:p w:rsidR="00EE7B61" w:rsidRDefault="006D223B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EE7B61" w:rsidRDefault="006D223B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>
      <w:rPr>
        <w:rFonts w:ascii="Segoe UI" w:hAnsi="Segoe UI" w:cs="Segoe UI"/>
        <w:i/>
        <w:sz w:val="15"/>
        <w:szCs w:val="15"/>
        <w:lang w:val="pl-PL"/>
      </w:rPr>
      <w:t>2. edycja projektu “Rozmowy przy wspólnym 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EE7B61" w:rsidRDefault="00EE7B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E0" w:rsidRDefault="00F742E0">
      <w:pPr>
        <w:spacing w:after="0" w:line="240" w:lineRule="auto"/>
      </w:pPr>
      <w:r>
        <w:separator/>
      </w:r>
    </w:p>
  </w:footnote>
  <w:footnote w:type="continuationSeparator" w:id="0">
    <w:p w:rsidR="00F742E0" w:rsidRDefault="00F7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61" w:rsidRDefault="00EE7B61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61" w:rsidRDefault="006D223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55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multilevel"/>
    <w:tmpl w:val="53F64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265F4"/>
    <w:rsid w:val="001E588C"/>
    <w:rsid w:val="001F14DC"/>
    <w:rsid w:val="0026612B"/>
    <w:rsid w:val="00276CFA"/>
    <w:rsid w:val="003233B8"/>
    <w:rsid w:val="003540AD"/>
    <w:rsid w:val="004011C3"/>
    <w:rsid w:val="00402854"/>
    <w:rsid w:val="00402DBB"/>
    <w:rsid w:val="00503489"/>
    <w:rsid w:val="00582666"/>
    <w:rsid w:val="006164C9"/>
    <w:rsid w:val="00636CB3"/>
    <w:rsid w:val="006D223B"/>
    <w:rsid w:val="0082569F"/>
    <w:rsid w:val="008C0BCF"/>
    <w:rsid w:val="009517F4"/>
    <w:rsid w:val="00BE3FB5"/>
    <w:rsid w:val="00C4636F"/>
    <w:rsid w:val="00C74E3F"/>
    <w:rsid w:val="00C93949"/>
    <w:rsid w:val="00EE7B61"/>
    <w:rsid w:val="00F32964"/>
    <w:rsid w:val="00F742E0"/>
    <w:rsid w:val="00FA02FB"/>
    <w:rsid w:val="03270312"/>
    <w:rsid w:val="034D4606"/>
    <w:rsid w:val="07EC5307"/>
    <w:rsid w:val="0E5D3A0F"/>
    <w:rsid w:val="0FA77910"/>
    <w:rsid w:val="14120BC5"/>
    <w:rsid w:val="163918E7"/>
    <w:rsid w:val="19D11D2D"/>
    <w:rsid w:val="1E04188E"/>
    <w:rsid w:val="20410732"/>
    <w:rsid w:val="228E3BF6"/>
    <w:rsid w:val="22BC40B1"/>
    <w:rsid w:val="275645E5"/>
    <w:rsid w:val="29DE2B1C"/>
    <w:rsid w:val="2A683C00"/>
    <w:rsid w:val="2C2A7EFE"/>
    <w:rsid w:val="2D471E79"/>
    <w:rsid w:val="2E224BAB"/>
    <w:rsid w:val="2E8A225A"/>
    <w:rsid w:val="2EFE6596"/>
    <w:rsid w:val="301178E6"/>
    <w:rsid w:val="31663A19"/>
    <w:rsid w:val="34246A14"/>
    <w:rsid w:val="35DB287D"/>
    <w:rsid w:val="3696265C"/>
    <w:rsid w:val="388328B1"/>
    <w:rsid w:val="3FD730B9"/>
    <w:rsid w:val="43BE7DFB"/>
    <w:rsid w:val="444B188B"/>
    <w:rsid w:val="47AE3A1F"/>
    <w:rsid w:val="4AA01BE5"/>
    <w:rsid w:val="4BDB34FD"/>
    <w:rsid w:val="4CE53E2D"/>
    <w:rsid w:val="4D550246"/>
    <w:rsid w:val="4E2A1C7F"/>
    <w:rsid w:val="53117985"/>
    <w:rsid w:val="57907E8D"/>
    <w:rsid w:val="58986C93"/>
    <w:rsid w:val="59ED6895"/>
    <w:rsid w:val="60F11542"/>
    <w:rsid w:val="666E6554"/>
    <w:rsid w:val="6877555A"/>
    <w:rsid w:val="694261D7"/>
    <w:rsid w:val="6FE23147"/>
    <w:rsid w:val="724D6F54"/>
    <w:rsid w:val="73BA7460"/>
    <w:rsid w:val="754F4706"/>
    <w:rsid w:val="770F1F91"/>
    <w:rsid w:val="784D143F"/>
    <w:rsid w:val="78E653FB"/>
    <w:rsid w:val="7C98622C"/>
    <w:rsid w:val="7F4331EC"/>
    <w:rsid w:val="7F50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BCA186-063E-41C5-99F1-979A2C9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1">
    <w:name w:val="heading 1"/>
    <w:next w:val="Normalny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Nagwek2">
    <w:name w:val="heading 2"/>
    <w:next w:val="Normalny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character" w:styleId="Hipercze">
    <w:name w:val="Hyperlink"/>
    <w:basedOn w:val="Domylnaczcionkaakapitu"/>
    <w:qFormat/>
    <w:rPr>
      <w:color w:val="0563C1" w:themeColor="hyperlink"/>
      <w:u w:val="single"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US"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://cejsh.icm.edu.pl/cejsh/element/bwmeta1.element.ojs-doi-10_15633_ssc_7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aniaksiazka.pl/wydawnictwo/wydawnictwa-uniwersytetu-warszawskie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ZYZu5mhWsw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9GyT_MeRRy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4</cp:revision>
  <dcterms:created xsi:type="dcterms:W3CDTF">2020-02-03T07:11:00Z</dcterms:created>
  <dcterms:modified xsi:type="dcterms:W3CDTF">2020-02-03T12:01:00Z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