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F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TEMAT ROZMOWY: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097FC7" w:rsidRPr="00097FC7">
        <w:rPr>
          <w:rFonts w:ascii="Segoe UI" w:hAnsi="Segoe UI" w:cs="Segoe UI"/>
          <w:b/>
          <w:bCs/>
          <w:sz w:val="24"/>
          <w:szCs w:val="24"/>
          <w:lang w:val="pl-PL"/>
        </w:rPr>
        <w:t>Co wiemy, a czego nie chcemy wiedzieć o LGBT+?</w:t>
      </w:r>
    </w:p>
    <w:p w:rsidR="0020247F" w:rsidRDefault="00C64204">
      <w:pPr>
        <w:rPr>
          <w:rFonts w:ascii="Segoe UI" w:hAnsi="Segoe UI" w:cs="Segoe UI"/>
          <w:b/>
          <w:bCs/>
          <w:sz w:val="24"/>
          <w:szCs w:val="24"/>
          <w:lang w:val="pl-PL"/>
        </w:rPr>
      </w:pPr>
      <w:r>
        <w:rPr>
          <w:rFonts w:ascii="Segoe UI" w:hAnsi="Segoe UI" w:cs="Segoe UI"/>
          <w:b/>
          <w:bCs/>
          <w:sz w:val="24"/>
          <w:szCs w:val="24"/>
          <w:lang w:val="pl-PL"/>
        </w:rPr>
        <w:t>AUTOR</w:t>
      </w:r>
      <w:r w:rsidR="00BC6DFC">
        <w:rPr>
          <w:rFonts w:ascii="Segoe UI" w:hAnsi="Segoe UI" w:cs="Segoe UI"/>
          <w:b/>
          <w:bCs/>
          <w:sz w:val="24"/>
          <w:szCs w:val="24"/>
          <w:lang w:val="pl-PL"/>
        </w:rPr>
        <w:t>/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t>KA:</w:t>
      </w:r>
      <w:r>
        <w:rPr>
          <w:rFonts w:ascii="Segoe UI" w:hAnsi="Segoe UI" w:cs="Segoe UI"/>
          <w:b/>
          <w:bCs/>
          <w:sz w:val="24"/>
          <w:szCs w:val="24"/>
          <w:lang w:val="pl-PL"/>
        </w:rPr>
        <w:br/>
      </w:r>
      <w:r w:rsidR="00097FC7">
        <w:rPr>
          <w:rFonts w:ascii="Segoe UI" w:hAnsi="Segoe UI" w:cs="Segoe UI"/>
          <w:b/>
          <w:bCs/>
          <w:sz w:val="24"/>
          <w:szCs w:val="24"/>
          <w:lang w:val="pl-PL"/>
        </w:rPr>
        <w:t>Ola Kaczorek</w:t>
      </w:r>
    </w:p>
    <w:p w:rsidR="00BC6DFC" w:rsidRDefault="00BC6DFC">
      <w:pPr>
        <w:rPr>
          <w:rFonts w:ascii="Segoe UI" w:hAnsi="Segoe UI" w:cs="Segoe UI"/>
          <w:b/>
          <w:bCs/>
          <w:sz w:val="24"/>
          <w:szCs w:val="24"/>
          <w:lang w:val="pl-PL"/>
        </w:rPr>
      </w:pP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i/>
          <w:lang w:val="pl-PL"/>
        </w:rPr>
        <w:t xml:space="preserve">Przed wyborem tematu spotkania przy wspólnym stole koniecznie przeczytaj podręcznik </w:t>
      </w:r>
      <w:hyperlink r:id="rId8" w:history="1">
        <w:r>
          <w:rPr>
            <w:rFonts w:ascii="Segoe UI" w:hAnsi="Segoe UI" w:cs="Segoe UI"/>
            <w:i/>
            <w:color w:val="0585C7"/>
            <w:u w:val="single"/>
          </w:rPr>
          <w:t>„Rozmowy przy wspólnym stole”</w:t>
        </w:r>
      </w:hyperlink>
      <w:r>
        <w:rPr>
          <w:rFonts w:ascii="Segoe UI" w:hAnsi="Segoe UI" w:cs="Segoe UI"/>
          <w:color w:val="0585C7"/>
          <w:lang w:val="pl-PL"/>
        </w:rPr>
        <w:t xml:space="preserve"> </w:t>
      </w:r>
      <w:r>
        <w:rPr>
          <w:rFonts w:ascii="Segoe UI" w:hAnsi="Segoe UI" w:cs="Segoe UI"/>
          <w:i/>
          <w:lang w:val="pl-PL"/>
        </w:rPr>
        <w:t xml:space="preserve">dostępny na portalu biblioteki.org. Pozwoli on zaplanować przebieg spotkania i dopasować techniki moderacyjne do potrzeb osób w nim uczestniczących oraz do tematu, wokół którego te osoby się spotkają. Znajdziesz tam wskazówki, o co zadbać przed spotkaniem i w jego trakcie. Możesz też skorzystać z uniwersalnego wzoru scenariusza oraz opisów przydatnych technik facylitacyjnych. </w:t>
      </w:r>
    </w:p>
    <w:p w:rsidR="0020247F" w:rsidRDefault="00C64204">
      <w:pPr>
        <w:rPr>
          <w:rFonts w:ascii="Segoe UI" w:hAnsi="Segoe UI" w:cs="Segoe UI"/>
          <w:i/>
          <w:lang w:val="pl-PL"/>
        </w:rPr>
      </w:pPr>
      <w:r>
        <w:rPr>
          <w:rFonts w:ascii="Segoe UI" w:hAnsi="Segoe UI" w:cs="Segoe UI"/>
          <w:b/>
          <w:i/>
          <w:lang w:val="pl-PL"/>
        </w:rPr>
        <w:t>Ważne:</w:t>
      </w:r>
      <w:r>
        <w:rPr>
          <w:rFonts w:ascii="Segoe UI" w:hAnsi="Segoe UI" w:cs="Segoe UI"/>
          <w:i/>
          <w:lang w:val="pl-PL"/>
        </w:rPr>
        <w:t xml:space="preserve"> Rozmowa przy wspólnym stole </w:t>
      </w:r>
      <w:r>
        <w:rPr>
          <w:rFonts w:ascii="Segoe UI" w:hAnsi="Segoe UI" w:cs="Segoe UI"/>
          <w:i/>
          <w:u w:val="single"/>
          <w:lang w:val="pl-PL"/>
        </w:rPr>
        <w:t>nie jest</w:t>
      </w:r>
      <w:r>
        <w:rPr>
          <w:rFonts w:ascii="Segoe UI" w:hAnsi="Segoe UI" w:cs="Segoe UI"/>
          <w:i/>
          <w:lang w:val="pl-PL"/>
        </w:rPr>
        <w:t xml:space="preserve"> wykładem, warsztatem, debatą ani spotkaniem towarzyskim. Zawiera elementy wszystkich tych form, ale jej głównym celem jest </w:t>
      </w:r>
      <w:r>
        <w:rPr>
          <w:rFonts w:ascii="Segoe UI" w:hAnsi="Segoe UI" w:cs="Segoe UI"/>
          <w:i/>
          <w:u w:val="single"/>
          <w:lang w:val="pl-PL"/>
        </w:rPr>
        <w:t xml:space="preserve">wysłuchanie </w:t>
      </w:r>
      <w:r>
        <w:rPr>
          <w:rFonts w:ascii="Segoe UI" w:hAnsi="Segoe UI" w:cs="Segoe UI"/>
          <w:i/>
          <w:lang w:val="pl-PL"/>
        </w:rPr>
        <w:t xml:space="preserve">różnych punktów widzenia. Tylko tyle i aż tyle. Aby osoby uczestniczące mogły się wypowiadać szczerze i mieć poczucie komfortu, to zasady, o których przeczytacie w podręczniku, muszą być przestrzegane. Im bardziej różnorodne postawy, opinie i wartości spotkają przy wspólnym stole, tym lepiej. </w:t>
      </w:r>
    </w:p>
    <w:p w:rsidR="0020247F" w:rsidRDefault="0020247F">
      <w:pPr>
        <w:rPr>
          <w:rFonts w:ascii="Segoe UI" w:hAnsi="Segoe UI" w:cs="Segoe UI"/>
          <w:i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Dlaczego uważam, że ten temat jest ważny?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Przekonanie o wadze tematu jest ważne. Spisanie powodów, dla których chcesz zebrać ludzi wokół danego tematu, pozwoli Ci na skuteczną komunikację – zarówno na etapie zapraszania na spotkanie, jak i podczas jego moderowania.</w:t>
      </w:r>
    </w:p>
    <w:p w:rsidR="0020247F" w:rsidRDefault="0020247F">
      <w:pPr>
        <w:rPr>
          <w:rFonts w:ascii="Segoe UI" w:hAnsi="Segoe UI" w:cs="Segoe UI"/>
          <w:lang w:val="pl-PL"/>
        </w:rPr>
        <w:sectPr w:rsidR="0020247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20" w:footer="720" w:gutter="0"/>
          <w:cols w:space="425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097FC7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LGBT+ to ok. 5-10% społeczeństwa – w Polsce oznacza to ok. 2 miliony ludzi.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097FC7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Temat osób LGBT+ jest obecnie bardzo „popularny” w mediach i wśród polityków, powielanych jest dużo przekłamań – warto wiedzieć</w:t>
            </w:r>
            <w:r w:rsidR="009322F3">
              <w:rPr>
                <w:rFonts w:ascii="Segoe UI" w:hAnsi="Segoe UI" w:cs="Segoe UI"/>
                <w:lang w:val="pl-PL"/>
              </w:rPr>
              <w:t>,</w:t>
            </w:r>
            <w:r>
              <w:rPr>
                <w:rFonts w:ascii="Segoe UI" w:hAnsi="Segoe UI" w:cs="Segoe UI"/>
                <w:lang w:val="pl-PL"/>
              </w:rPr>
              <w:t xml:space="preserve"> o czym mowa.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097FC7" w:rsidRDefault="00097FC7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</w:t>
            </w:r>
            <w:r w:rsidR="009322F3">
              <w:rPr>
                <w:rFonts w:ascii="Segoe UI" w:hAnsi="Segoe UI" w:cs="Segoe UI"/>
                <w:lang w:val="pl-PL"/>
              </w:rPr>
              <w:t xml:space="preserve"> LGBT+ są wszędzie, nie tylko w </w:t>
            </w:r>
            <w:r>
              <w:rPr>
                <w:rFonts w:ascii="Segoe UI" w:hAnsi="Segoe UI" w:cs="Segoe UI"/>
                <w:lang w:val="pl-PL"/>
              </w:rPr>
              <w:t>dużych miastach. To twoi sąsiedzi, współpracownicy, członkowie rodziny – czasem po prostu ukrywają się ze względu na lęk przed odrzuceniem. Warto o tym pamiętać.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BC6DFC" w:rsidRDefault="00BC6DFC">
      <w:pPr>
        <w:rPr>
          <w:rFonts w:ascii="Segoe UI" w:hAnsi="Segoe UI" w:cs="Segoe UI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bCs/>
          <w:lang w:val="pl-PL"/>
        </w:rPr>
        <w:lastRenderedPageBreak/>
        <w:t>Co osoby uczestniczące wyniosą z tego spotkania?</w:t>
      </w:r>
      <w:r>
        <w:rPr>
          <w:rFonts w:ascii="Segoe UI" w:hAnsi="Segoe UI" w:cs="Segoe UI"/>
          <w:lang w:val="pl-PL"/>
        </w:rPr>
        <w:t xml:space="preserve"> 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Jeśli nazwiesz korzyści, jakie osoby uczestniczące mogą wynieść ze spotkania, łatwiej Ci będzie zaprosić mieszkanki i mieszkańców Twojej miejscowości do wspólnej rozmowy.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097FC7" w:rsidP="00097FC7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Rzetelną wiedzę na temat, wokół którego narosło wiele mitów i nieprawdziwych informacji.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097FC7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Umiejętność rozpoznania mechanizmów, które sprzyjają tworzeniu stereotypów.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097FC7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Umiejętność poruszania tematu społeczności LGBT+ w rozmowie.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  <w:tr w:rsidR="002D5C7E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D5C7E" w:rsidRDefault="002D5C7E">
            <w:pPr>
              <w:spacing w:after="0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 xml:space="preserve">Zrozumienie </w:t>
            </w:r>
            <w:r w:rsidR="009322F3">
              <w:rPr>
                <w:rFonts w:ascii="Segoe UI" w:hAnsi="Segoe UI" w:cs="Segoe UI"/>
                <w:lang w:val="pl-PL"/>
              </w:rPr>
              <w:t>różnicy między „przywilejami” a </w:t>
            </w:r>
            <w:r>
              <w:rPr>
                <w:rFonts w:ascii="Segoe UI" w:hAnsi="Segoe UI" w:cs="Segoe UI"/>
                <w:lang w:val="pl-PL"/>
              </w:rPr>
              <w:t>równością praw.</w:t>
            </w:r>
          </w:p>
        </w:tc>
        <w:tc>
          <w:tcPr>
            <w:tcW w:w="4148" w:type="dxa"/>
            <w:vAlign w:val="center"/>
          </w:tcPr>
          <w:p w:rsidR="002D5C7E" w:rsidRDefault="002D5C7E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Sformułowania oraz ważne pytania związane tematem – przydatne przy opracowaniu zaproszenia oraz podczas prowadzenia spotkania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unikać języka bardzo formalnego, eksperckiego czy pełnego ogólników. Słowa i frazy, które wiążą się z danym tematem, warto wykorzystać, formułując zaproszenie oraz planując wstęp spotkania.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 co chodzi LGBT+?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Kim są osoby LGBT+?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Czym są równe prawa?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color w:val="0585C7"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>Kogo zaprosić na spotkanie, o kim nie zapomnieć?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>Niezależnie od tego, czy zapraszamy imiennie czy też kierujemy do społeczności zaproszenie otwarte, ważna jest różnorodność rozmówców oraz ich gotowość do słuchania się nawzajem. Pamiętaj o tym, że różne punkty widzenia i różnorodność doświadczeń czynią rozmowę ciekawą i rozwijającą. Dlatego wypisz, kto powinien w takim spotkaniu uczestniczyć: mogą to być konkretne osoby lub przedstawicielki i przedstawiciele różnych grup (wiekowych, zainteresowań, zawodowych, związanych z miejscem zamieszkania lub innych).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247F" w:rsidTr="00BC6DFC">
        <w:trPr>
          <w:trHeight w:val="567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148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lastRenderedPageBreak/>
              <w:t>Osoby w różnym wieku</w:t>
            </w:r>
            <w:r w:rsidR="009322F3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różnej płci</w:t>
            </w:r>
            <w:r w:rsidR="009322F3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 w:rsidTr="00BC6DFC">
        <w:trPr>
          <w:trHeight w:val="850"/>
        </w:trPr>
        <w:tc>
          <w:tcPr>
            <w:tcW w:w="4148" w:type="dxa"/>
            <w:shd w:val="clear" w:color="auto" w:fill="F2F2F2" w:themeFill="background1" w:themeFillShade="F2"/>
            <w:vAlign w:val="center"/>
          </w:tcPr>
          <w:p w:rsidR="0020247F" w:rsidRDefault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Przedstawicieli i przedstawicielki społeczności LGBT+</w:t>
            </w:r>
            <w:r w:rsidR="009322F3">
              <w:rPr>
                <w:rFonts w:ascii="Segoe UI" w:hAnsi="Segoe UI" w:cs="Segoe UI"/>
                <w:lang w:val="pl-PL"/>
              </w:rPr>
              <w:t>.</w:t>
            </w:r>
          </w:p>
        </w:tc>
        <w:tc>
          <w:tcPr>
            <w:tcW w:w="4148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t xml:space="preserve">Jak zadbać o komfort osób uczestniczących w </w:t>
      </w:r>
      <w:r>
        <w:rPr>
          <w:rFonts w:ascii="Segoe UI" w:hAnsi="Segoe UI" w:cs="Segoe UI"/>
          <w:b/>
          <w:bCs/>
          <w:u w:val="single"/>
          <w:lang w:val="pl-PL"/>
        </w:rPr>
        <w:t>tym</w:t>
      </w:r>
      <w:r>
        <w:rPr>
          <w:rFonts w:ascii="Segoe UI" w:hAnsi="Segoe UI" w:cs="Segoe UI"/>
          <w:b/>
          <w:bCs/>
          <w:lang w:val="pl-PL"/>
        </w:rPr>
        <w:t xml:space="preserve"> spotkaniu?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Warto przewidzieć ryzyka: co może zahamować/zniechęcić rozmówców? Warto też zaplanować środki zaradcze: jeżeli zdarzy się to i to, wtedy należy to i to.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4"/>
        <w:gridCol w:w="4142"/>
      </w:tblGrid>
      <w:tr w:rsidR="0020247F">
        <w:trPr>
          <w:trHeight w:val="567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Autor/ka opracowania tematu</w:t>
            </w:r>
          </w:p>
        </w:tc>
        <w:tc>
          <w:tcPr>
            <w:tcW w:w="4261" w:type="dxa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Osoba organizująca </w:t>
            </w:r>
            <w:r>
              <w:rPr>
                <w:rFonts w:ascii="Segoe UI" w:hAnsi="Segoe UI" w:cs="Segoe UI"/>
                <w:b/>
                <w:lang w:val="pl-PL"/>
              </w:rPr>
              <w:br/>
              <w:t>i moderująca spotkanie</w:t>
            </w: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2D5C7E" w:rsidP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Na początku spotkania warto jest ustalić zasady, zgodnie z którymi osoby uczestniczące w rozmowie zgadzają się, że nie będą używać obraźliwych, pogardliwych sformułowań (można je nawet wymienić).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2D5C7E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Podkreślenie na początku rozmowy zasady wzajemnego szacunku.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0247F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0247F" w:rsidRDefault="002370C4" w:rsidP="002370C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uczestniczące w spotkaniu mogą czuć się skrępowane tym, że nie posługują się dobrze językiem równościowym – warto zapew</w:t>
            </w:r>
            <w:r w:rsidR="009322F3">
              <w:rPr>
                <w:rFonts w:ascii="Segoe UI" w:hAnsi="Segoe UI" w:cs="Segoe UI"/>
                <w:lang w:val="pl-PL"/>
              </w:rPr>
              <w:t>nić, że w tej rozmowie chodzi o </w:t>
            </w:r>
            <w:r>
              <w:rPr>
                <w:rFonts w:ascii="Segoe UI" w:hAnsi="Segoe UI" w:cs="Segoe UI"/>
                <w:lang w:val="pl-PL"/>
              </w:rPr>
              <w:t>intencje, a nie o odzywanie się tylko, jeśli ktoś jest ekspertem w temacie. W razie czego zostaną po prostu poprawieni.</w:t>
            </w:r>
          </w:p>
        </w:tc>
        <w:tc>
          <w:tcPr>
            <w:tcW w:w="4261" w:type="dxa"/>
            <w:vAlign w:val="center"/>
          </w:tcPr>
          <w:p w:rsidR="0020247F" w:rsidRDefault="0020247F">
            <w:pPr>
              <w:spacing w:after="0" w:line="240" w:lineRule="auto"/>
              <w:jc w:val="left"/>
              <w:rPr>
                <w:rFonts w:ascii="Segoe UI" w:hAnsi="Segoe UI" w:cs="Segoe UI"/>
                <w:lang w:val="pl-PL"/>
              </w:rPr>
            </w:pPr>
          </w:p>
        </w:tc>
      </w:tr>
      <w:tr w:rsidR="002370C4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370C4" w:rsidRDefault="002370C4" w:rsidP="009322F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Osoby reprezentujące społeczność LGBT+ mogą czuć się nieswojo z tym, że dyskutuje się o ich prawach. Warto zwrócić uwagę</w:t>
            </w:r>
            <w:r w:rsidR="009322F3">
              <w:rPr>
                <w:rFonts w:ascii="Segoe UI" w:hAnsi="Segoe UI" w:cs="Segoe UI"/>
                <w:lang w:val="pl-PL"/>
              </w:rPr>
              <w:t xml:space="preserve"> osób uczestniczących w dyskusji</w:t>
            </w:r>
            <w:r>
              <w:rPr>
                <w:rFonts w:ascii="Segoe UI" w:hAnsi="Segoe UI" w:cs="Segoe UI"/>
                <w:lang w:val="pl-PL"/>
              </w:rPr>
              <w:t xml:space="preserve"> na to, że nie m</w:t>
            </w:r>
            <w:r w:rsidR="009322F3">
              <w:rPr>
                <w:rFonts w:ascii="Segoe UI" w:hAnsi="Segoe UI" w:cs="Segoe UI"/>
                <w:lang w:val="pl-PL"/>
              </w:rPr>
              <w:t>ówią o abstrakcyjnych ideach, a o </w:t>
            </w:r>
            <w:r>
              <w:rPr>
                <w:rFonts w:ascii="Segoe UI" w:hAnsi="Segoe UI" w:cs="Segoe UI"/>
                <w:lang w:val="pl-PL"/>
              </w:rPr>
              <w:t xml:space="preserve">prawdziwych ludziach. </w:t>
            </w:r>
          </w:p>
        </w:tc>
        <w:tc>
          <w:tcPr>
            <w:tcW w:w="4261" w:type="dxa"/>
            <w:vAlign w:val="center"/>
          </w:tcPr>
          <w:p w:rsidR="002370C4" w:rsidRDefault="002370C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  <w:tr w:rsidR="002370C4">
        <w:trPr>
          <w:trHeight w:val="850"/>
        </w:trPr>
        <w:tc>
          <w:tcPr>
            <w:tcW w:w="4261" w:type="dxa"/>
            <w:shd w:val="clear" w:color="auto" w:fill="F2F2F2" w:themeFill="background1" w:themeFillShade="F2"/>
            <w:vAlign w:val="center"/>
          </w:tcPr>
          <w:p w:rsidR="002370C4" w:rsidRDefault="002370C4" w:rsidP="009322F3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Gdy komuś zdarzy się użyć jawnie obraźliwego sformułowania, należy go poprawić i od razu zapowiedzieć, że powtórzenie takiego zachowania poskutkuje wykluczeniem danej osoby z rozmowy – nie można pozwolić na obrażanie części osób uczestniczących w spotkaniu.</w:t>
            </w:r>
          </w:p>
        </w:tc>
        <w:tc>
          <w:tcPr>
            <w:tcW w:w="4261" w:type="dxa"/>
            <w:vAlign w:val="center"/>
          </w:tcPr>
          <w:p w:rsidR="002370C4" w:rsidRDefault="002370C4">
            <w:pPr>
              <w:spacing w:after="0" w:line="240" w:lineRule="auto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20247F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9322F3" w:rsidRDefault="009322F3">
      <w:pPr>
        <w:pStyle w:val="Akapitzlist"/>
        <w:rPr>
          <w:rFonts w:ascii="Segoe UI" w:hAnsi="Segoe UI" w:cs="Segoe UI"/>
          <w:b/>
          <w:bCs/>
          <w:lang w:val="pl-PL"/>
        </w:rPr>
      </w:pPr>
    </w:p>
    <w:p w:rsidR="0020247F" w:rsidRDefault="00C64204">
      <w:pPr>
        <w:pStyle w:val="Akapitzlist"/>
        <w:numPr>
          <w:ilvl w:val="0"/>
          <w:numId w:val="1"/>
        </w:numPr>
        <w:rPr>
          <w:rFonts w:ascii="Segoe UI" w:hAnsi="Segoe UI" w:cs="Segoe UI"/>
          <w:b/>
          <w:bCs/>
          <w:lang w:val="pl-PL"/>
        </w:rPr>
      </w:pPr>
      <w:r>
        <w:rPr>
          <w:rFonts w:ascii="Segoe UI" w:hAnsi="Segoe UI" w:cs="Segoe UI"/>
          <w:b/>
          <w:bCs/>
          <w:lang w:val="pl-PL"/>
        </w:rPr>
        <w:lastRenderedPageBreak/>
        <w:t>Pomoce do wykorzystania</w:t>
      </w:r>
    </w:p>
    <w:p w:rsidR="0020247F" w:rsidRDefault="00C64204">
      <w:pPr>
        <w:rPr>
          <w:rFonts w:ascii="Segoe UI" w:hAnsi="Segoe UI" w:cs="Segoe UI"/>
          <w:color w:val="0585C7"/>
          <w:lang w:val="pl-PL"/>
        </w:rPr>
      </w:pPr>
      <w:r>
        <w:rPr>
          <w:rFonts w:ascii="Segoe UI" w:hAnsi="Segoe UI" w:cs="Segoe UI"/>
          <w:color w:val="0585C7"/>
          <w:lang w:val="pl-PL"/>
        </w:rPr>
        <w:t xml:space="preserve">W ramach wstępu lub podsumowania spotkania warto pokazać fragment filmu, odnieść się do publikacji lub przeprowadzić ćwiczenie odwołujące się do doświadczenia osób </w:t>
      </w:r>
      <w:r w:rsidR="00BC6DFC">
        <w:rPr>
          <w:rFonts w:ascii="Segoe UI" w:hAnsi="Segoe UI" w:cs="Segoe UI"/>
          <w:color w:val="0585C7"/>
          <w:lang w:val="pl-PL"/>
        </w:rPr>
        <w:t>u</w:t>
      </w:r>
      <w:r>
        <w:rPr>
          <w:rFonts w:ascii="Segoe UI" w:hAnsi="Segoe UI" w:cs="Segoe UI"/>
          <w:color w:val="0585C7"/>
          <w:lang w:val="pl-PL"/>
        </w:rPr>
        <w:t>czestniczących. Można skorzystać z następujących materiałów:</w:t>
      </w:r>
    </w:p>
    <w:tbl>
      <w:tblPr>
        <w:tblStyle w:val="Tabela-Siatka"/>
        <w:tblW w:w="8522" w:type="dxa"/>
        <w:tblLayout w:type="fixed"/>
        <w:tblLook w:val="04A0" w:firstRow="1" w:lastRow="0" w:firstColumn="1" w:lastColumn="0" w:noHBand="0" w:noVBand="1"/>
      </w:tblPr>
      <w:tblGrid>
        <w:gridCol w:w="4255"/>
        <w:gridCol w:w="4267"/>
      </w:tblGrid>
      <w:tr w:rsidR="0020247F" w:rsidTr="00BC6DFC">
        <w:trPr>
          <w:trHeight w:val="567"/>
        </w:trPr>
        <w:tc>
          <w:tcPr>
            <w:tcW w:w="4255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>Nazwa materiału + jego rodzaj</w:t>
            </w:r>
            <w:r>
              <w:rPr>
                <w:rFonts w:ascii="Segoe UI" w:hAnsi="Segoe UI" w:cs="Segoe UI"/>
                <w:b/>
                <w:lang w:val="pl-PL"/>
              </w:rPr>
              <w:br/>
            </w:r>
            <w:r>
              <w:rPr>
                <w:rFonts w:ascii="Segoe UI" w:hAnsi="Segoe UI" w:cs="Segoe UI"/>
                <w:lang w:val="pl-PL"/>
              </w:rPr>
              <w:t>(film, publikacja itp.)</w:t>
            </w:r>
          </w:p>
          <w:p w:rsidR="0020247F" w:rsidRDefault="00C64204" w:rsidP="002370C4">
            <w:pPr>
              <w:spacing w:after="0" w:line="240" w:lineRule="auto"/>
              <w:jc w:val="center"/>
              <w:rPr>
                <w:rFonts w:ascii="Segoe UI" w:hAnsi="Segoe UI" w:cs="Segoe UI"/>
                <w:i/>
                <w:color w:val="F18757"/>
                <w:lang w:val="pl-PL"/>
              </w:rPr>
            </w:pPr>
            <w:r>
              <w:rPr>
                <w:rFonts w:ascii="Segoe UI" w:hAnsi="Segoe UI" w:cs="Segoe UI"/>
                <w:i/>
                <w:color w:val="F18757"/>
                <w:lang w:val="pl-PL"/>
              </w:rPr>
              <w:t xml:space="preserve">Uwaga! Linki są aktualne na </w:t>
            </w:r>
            <w:r w:rsidR="002370C4">
              <w:rPr>
                <w:rFonts w:ascii="Segoe UI" w:hAnsi="Segoe UI" w:cs="Segoe UI"/>
                <w:i/>
                <w:color w:val="F18757"/>
                <w:lang w:val="pl-PL"/>
              </w:rPr>
              <w:t>15.04.2020</w:t>
            </w:r>
            <w:r w:rsidR="009322F3">
              <w:rPr>
                <w:rFonts w:ascii="Segoe UI" w:hAnsi="Segoe UI" w:cs="Segoe UI"/>
                <w:i/>
                <w:color w:val="F18757"/>
                <w:lang w:val="pl-PL"/>
              </w:rPr>
              <w:t xml:space="preserve"> r.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C64204">
            <w:pPr>
              <w:spacing w:after="0" w:line="24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>
              <w:rPr>
                <w:rFonts w:ascii="Segoe UI" w:hAnsi="Segoe UI" w:cs="Segoe UI"/>
                <w:b/>
                <w:lang w:val="pl-PL"/>
              </w:rPr>
              <w:t xml:space="preserve">Czego dotyczy / do czego może się przydać? </w:t>
            </w:r>
            <w:r>
              <w:rPr>
                <w:rFonts w:ascii="Segoe UI" w:hAnsi="Segoe UI" w:cs="Segoe UI"/>
                <w:lang w:val="pl-PL"/>
              </w:rPr>
              <w:t>(przy dłuższych materiałach prosimy o wskazanie konkretnego fragmentu, np. minuty filmu lub strony publikacji)</w:t>
            </w:r>
            <w:r>
              <w:rPr>
                <w:rFonts w:ascii="Segoe UI" w:hAnsi="Segoe UI" w:cs="Segoe UI"/>
                <w:b/>
                <w:lang w:val="pl-PL"/>
              </w:rPr>
              <w:t xml:space="preserve"> </w:t>
            </w: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9322F3" w:rsidRDefault="009322F3" w:rsidP="009322F3">
            <w:pPr>
              <w:spacing w:after="0"/>
              <w:jc w:val="left"/>
              <w:rPr>
                <w:rFonts w:ascii="Segoe UI" w:hAnsi="Segoe UI" w:cs="Segoe UI"/>
                <w:color w:val="0585C7"/>
                <w:sz w:val="22"/>
                <w:szCs w:val="22"/>
                <w:u w:val="single"/>
                <w:lang w:val="pl-PL"/>
              </w:rPr>
            </w:pPr>
            <w:hyperlink r:id="rId13" w:history="1"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https://mnw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.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org.pl/tematy/jak-rozmawiac/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370C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Lista pytań i odpowiedzi dotyczących postulatu równości małżeńskiej dla par osób tej samej płci</w:t>
            </w:r>
            <w:r w:rsidR="009322F3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9322F3" w:rsidRDefault="009322F3" w:rsidP="009322F3">
            <w:pPr>
              <w:spacing w:after="0"/>
              <w:jc w:val="left"/>
              <w:rPr>
                <w:rFonts w:ascii="Segoe UI" w:hAnsi="Segoe UI" w:cs="Segoe UI"/>
                <w:color w:val="0585C7"/>
                <w:sz w:val="22"/>
                <w:szCs w:val="22"/>
                <w:u w:val="single"/>
                <w:lang w:val="pl-PL"/>
              </w:rPr>
            </w:pPr>
            <w:hyperlink r:id="rId14" w:history="1"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https://mnw.or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g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.pl/orientujsie/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370C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Materiały online lub do pobrania – podstawowa wiedza dotycząca społeczności LGBT+, języka, podstawowych pojęć, napisana przystępnym językiem.</w:t>
            </w: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9322F3" w:rsidRDefault="009322F3" w:rsidP="009322F3">
            <w:pPr>
              <w:spacing w:after="0"/>
              <w:jc w:val="left"/>
              <w:rPr>
                <w:rFonts w:ascii="Segoe UI" w:hAnsi="Segoe UI" w:cs="Segoe UI"/>
                <w:color w:val="0585C7"/>
                <w:sz w:val="22"/>
                <w:szCs w:val="22"/>
                <w:u w:val="single"/>
                <w:lang w:val="pl-PL"/>
              </w:rPr>
            </w:pPr>
            <w:hyperlink r:id="rId15" w:history="1"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https://mnw.org.pl/biblioteczka/plakat-prawa-o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s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ob-lgbt-w-ue/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20247F" w:rsidRDefault="002370C4">
            <w:pPr>
              <w:spacing w:after="0"/>
              <w:jc w:val="left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Grafika pokazująca prawa osób LGBT+ w Unii Europejskiej</w:t>
            </w:r>
            <w:r w:rsidR="009322F3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20247F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9322F3" w:rsidRDefault="009322F3" w:rsidP="009322F3">
            <w:pPr>
              <w:spacing w:after="0"/>
              <w:rPr>
                <w:rFonts w:ascii="Segoe UI" w:hAnsi="Segoe UI" w:cs="Segoe UI"/>
                <w:color w:val="0585C7"/>
                <w:sz w:val="22"/>
                <w:szCs w:val="22"/>
                <w:u w:val="single"/>
                <w:lang w:val="pl-PL"/>
              </w:rPr>
            </w:pPr>
            <w:hyperlink r:id="rId16" w:history="1"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https://mnw.org.pl/biblioteczka/rownosc-malzenska-p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r</w:t>
              </w:r>
              <w:r w:rsidRPr="009322F3">
                <w:rPr>
                  <w:rFonts w:ascii="Segoe UI" w:hAnsi="Segoe UI" w:cs="Segoe UI"/>
                  <w:color w:val="0585C7"/>
                  <w:sz w:val="22"/>
                  <w:szCs w:val="22"/>
                  <w:u w:val="single"/>
                  <w:lang w:val="pl-PL"/>
                </w:rPr>
                <w:t>zewodnik/</w:t>
              </w:r>
            </w:hyperlink>
          </w:p>
        </w:tc>
        <w:tc>
          <w:tcPr>
            <w:tcW w:w="4267" w:type="dxa"/>
            <w:shd w:val="clear" w:color="auto" w:fill="auto"/>
            <w:vAlign w:val="center"/>
          </w:tcPr>
          <w:p w:rsidR="009322F3" w:rsidRDefault="002370C4">
            <w:pPr>
              <w:spacing w:after="0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Przewodnik z przydatnymi infografikami na temat postulatu równości małżeńskiej dla par osób tej samej płci</w:t>
            </w:r>
            <w:r w:rsidR="009322F3">
              <w:rPr>
                <w:rFonts w:ascii="Segoe UI" w:hAnsi="Segoe UI" w:cs="Segoe UI"/>
                <w:lang w:val="pl-PL"/>
              </w:rPr>
              <w:t>.</w:t>
            </w:r>
          </w:p>
        </w:tc>
      </w:tr>
      <w:tr w:rsidR="009322F3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2370C4" w:rsidRDefault="009322F3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  <w:bookmarkStart w:id="0" w:name="_GoBack"/>
            <w:bookmarkEnd w:id="0"/>
          </w:p>
        </w:tc>
        <w:tc>
          <w:tcPr>
            <w:tcW w:w="4267" w:type="dxa"/>
            <w:shd w:val="clear" w:color="auto" w:fill="auto"/>
            <w:vAlign w:val="center"/>
          </w:tcPr>
          <w:p w:rsidR="009322F3" w:rsidRDefault="009322F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9322F3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2370C4" w:rsidRDefault="009322F3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9322F3" w:rsidRDefault="009322F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9322F3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2370C4" w:rsidRDefault="009322F3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9322F3" w:rsidRDefault="009322F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  <w:tr w:rsidR="009322F3" w:rsidTr="00BC6DFC">
        <w:trPr>
          <w:trHeight w:val="850"/>
        </w:trPr>
        <w:tc>
          <w:tcPr>
            <w:tcW w:w="4255" w:type="dxa"/>
            <w:shd w:val="clear" w:color="auto" w:fill="auto"/>
            <w:vAlign w:val="center"/>
          </w:tcPr>
          <w:p w:rsidR="009322F3" w:rsidRPr="002370C4" w:rsidRDefault="009322F3">
            <w:pPr>
              <w:spacing w:after="0"/>
              <w:rPr>
                <w:rFonts w:ascii="Segoe UI" w:hAnsi="Segoe UI" w:cs="Segoe UI"/>
                <w:color w:val="0585C7"/>
                <w:u w:val="single"/>
              </w:rPr>
            </w:pPr>
          </w:p>
        </w:tc>
        <w:tc>
          <w:tcPr>
            <w:tcW w:w="4267" w:type="dxa"/>
            <w:shd w:val="clear" w:color="auto" w:fill="auto"/>
            <w:vAlign w:val="center"/>
          </w:tcPr>
          <w:p w:rsidR="009322F3" w:rsidRDefault="009322F3">
            <w:pPr>
              <w:spacing w:after="0"/>
              <w:rPr>
                <w:rFonts w:ascii="Segoe UI" w:hAnsi="Segoe UI" w:cs="Segoe UI"/>
                <w:lang w:val="pl-PL"/>
              </w:rPr>
            </w:pPr>
          </w:p>
        </w:tc>
      </w:tr>
    </w:tbl>
    <w:p w:rsidR="0020247F" w:rsidRDefault="0020247F">
      <w:pPr>
        <w:rPr>
          <w:rFonts w:ascii="Segoe UI" w:hAnsi="Segoe UI" w:cs="Segoe UI"/>
          <w:lang w:val="pl-PL"/>
        </w:rPr>
      </w:pPr>
    </w:p>
    <w:sectPr w:rsidR="0020247F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CC" w:rsidRDefault="00AB2CCC">
      <w:pPr>
        <w:spacing w:after="0" w:line="240" w:lineRule="auto"/>
      </w:pPr>
      <w:r>
        <w:separator/>
      </w:r>
    </w:p>
  </w:endnote>
  <w:endnote w:type="continuationSeparator" w:id="0">
    <w:p w:rsidR="00AB2CCC" w:rsidRDefault="00AB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368346955"/>
    </w:sdtPr>
    <w:sdtEndPr/>
    <w:sdtContent>
      <w:p w:rsidR="0020247F" w:rsidRDefault="00C64204">
        <w:pPr>
          <w:pStyle w:val="Stopka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 w:rsidR="002C16CF" w:rsidRPr="002C16CF">
          <w:rPr>
            <w:rFonts w:ascii="Segoe UI" w:hAnsi="Segoe UI" w:cs="Segoe UI"/>
            <w:noProof/>
            <w:lang w:val="pl-PL"/>
          </w:rPr>
          <w:t>4</w:t>
        </w:r>
        <w:r>
          <w:rPr>
            <w:rFonts w:ascii="Segoe UI" w:hAnsi="Segoe UI" w:cs="Segoe UI"/>
          </w:rPr>
          <w:fldChar w:fldCharType="end"/>
        </w:r>
      </w:p>
    </w:sdtContent>
  </w:sdt>
  <w:p w:rsidR="0020247F" w:rsidRDefault="002024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62626" w:themeColor="text1" w:themeTint="D9"/>
      </w:rPr>
      <w:id w:val="-1106654840"/>
    </w:sdtPr>
    <w:sdtEndPr>
      <w:rPr>
        <w:rFonts w:ascii="Segoe UI" w:hAnsi="Segoe UI" w:cs="Segoe UI"/>
      </w:rPr>
    </w:sdtEndPr>
    <w:sdtContent>
      <w:p w:rsidR="0020247F" w:rsidRDefault="00C64204">
        <w:pPr>
          <w:pStyle w:val="Stopka"/>
          <w:jc w:val="center"/>
          <w:rPr>
            <w:rFonts w:ascii="Segoe UI" w:hAnsi="Segoe UI" w:cs="Segoe UI"/>
            <w:color w:val="262626" w:themeColor="text1" w:themeTint="D9"/>
            <w:lang w:val="pl-PL"/>
          </w:rPr>
        </w:pPr>
        <w:r>
          <w:rPr>
            <w:rFonts w:ascii="Segoe UI" w:hAnsi="Segoe UI" w:cs="Segoe UI"/>
            <w:i/>
            <w:noProof/>
            <w:sz w:val="15"/>
            <w:szCs w:val="15"/>
            <w:lang w:val="pl-PL"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-365760</wp:posOffset>
              </wp:positionH>
              <wp:positionV relativeFrom="margin">
                <wp:posOffset>8209280</wp:posOffset>
              </wp:positionV>
              <wp:extent cx="1352550" cy="676275"/>
              <wp:effectExtent l="0" t="0" r="0" b="0"/>
              <wp:wrapTight wrapText="bothSides">
                <wp:wrapPolygon edited="0">
                  <wp:start x="0" y="0"/>
                  <wp:lineTo x="0" y="21296"/>
                  <wp:lineTo x="21296" y="21296"/>
                  <wp:lineTo x="21296" y="0"/>
                  <wp:lineTo x="0" y="0"/>
                </wp:wrapPolygon>
              </wp:wrapTight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20247F" w:rsidRDefault="00C64204">
    <w:pPr>
      <w:pStyle w:val="Stopka"/>
      <w:ind w:left="1701"/>
      <w:jc w:val="both"/>
      <w:rPr>
        <w:rFonts w:ascii="Segoe UI" w:hAnsi="Segoe UI" w:cs="Segoe UI"/>
        <w:i/>
        <w:sz w:val="15"/>
        <w:szCs w:val="15"/>
        <w:lang w:val="pl-PL"/>
      </w:rPr>
    </w:pPr>
    <w:r>
      <w:rPr>
        <w:rFonts w:ascii="Segoe UI" w:hAnsi="Segoe UI" w:cs="Segoe UI"/>
        <w:i/>
        <w:sz w:val="15"/>
        <w:szCs w:val="15"/>
        <w:lang w:val="pl-PL"/>
      </w:rPr>
      <w:t>2. edycja projektu “Rozmowy przy wspólnym stole” realizowana jest w ramach Programu Rozwoju Bibliotek. Program Rozwoju Bibliotek to przedsięwzięcie Polsko-Amerykańskiej Fundacji Wolności prowadzone przez Fundację Rozwoju Społeczeństwa Informacyjnego. W latach 2009-2015 było realizowane w ramach partnerstwa z Fundacją Billa i Melindy Gatesów.</w:t>
    </w:r>
  </w:p>
  <w:p w:rsidR="0020247F" w:rsidRDefault="00202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CC" w:rsidRDefault="00AB2CCC">
      <w:pPr>
        <w:spacing w:after="0" w:line="240" w:lineRule="auto"/>
      </w:pPr>
      <w:r>
        <w:separator/>
      </w:r>
    </w:p>
  </w:footnote>
  <w:footnote w:type="continuationSeparator" w:id="0">
    <w:p w:rsidR="00AB2CCC" w:rsidRDefault="00AB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20247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7F" w:rsidRDefault="00C6420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3355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639" cy="81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643ED"/>
    <w:multiLevelType w:val="multilevel"/>
    <w:tmpl w:val="53F64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AD"/>
    <w:rsid w:val="00025D54"/>
    <w:rsid w:val="00097FC7"/>
    <w:rsid w:val="000B088B"/>
    <w:rsid w:val="000E14FF"/>
    <w:rsid w:val="000E6EA2"/>
    <w:rsid w:val="001626F5"/>
    <w:rsid w:val="001E588C"/>
    <w:rsid w:val="0020247F"/>
    <w:rsid w:val="00231BF1"/>
    <w:rsid w:val="002370C4"/>
    <w:rsid w:val="002C16CF"/>
    <w:rsid w:val="002D5C7E"/>
    <w:rsid w:val="003540AD"/>
    <w:rsid w:val="003F2569"/>
    <w:rsid w:val="00402854"/>
    <w:rsid w:val="00413963"/>
    <w:rsid w:val="00582666"/>
    <w:rsid w:val="00630E73"/>
    <w:rsid w:val="00636CB3"/>
    <w:rsid w:val="0070770E"/>
    <w:rsid w:val="00734454"/>
    <w:rsid w:val="007B6B27"/>
    <w:rsid w:val="00812485"/>
    <w:rsid w:val="008D66B9"/>
    <w:rsid w:val="008F653E"/>
    <w:rsid w:val="009322F3"/>
    <w:rsid w:val="009517F4"/>
    <w:rsid w:val="009657F3"/>
    <w:rsid w:val="00AB2CCC"/>
    <w:rsid w:val="00BC6DFC"/>
    <w:rsid w:val="00C4636F"/>
    <w:rsid w:val="00C64204"/>
    <w:rsid w:val="00EB7595"/>
    <w:rsid w:val="022C265D"/>
    <w:rsid w:val="03270312"/>
    <w:rsid w:val="034D4606"/>
    <w:rsid w:val="081412BC"/>
    <w:rsid w:val="0E944AD8"/>
    <w:rsid w:val="0F7C1453"/>
    <w:rsid w:val="130463E9"/>
    <w:rsid w:val="14120BC5"/>
    <w:rsid w:val="156A4DCF"/>
    <w:rsid w:val="19D11D2D"/>
    <w:rsid w:val="1FB35A06"/>
    <w:rsid w:val="20410732"/>
    <w:rsid w:val="22012812"/>
    <w:rsid w:val="22323FEC"/>
    <w:rsid w:val="22BC40B1"/>
    <w:rsid w:val="23154D62"/>
    <w:rsid w:val="231E201E"/>
    <w:rsid w:val="23340D2A"/>
    <w:rsid w:val="275645E5"/>
    <w:rsid w:val="2EFE6596"/>
    <w:rsid w:val="301151DA"/>
    <w:rsid w:val="301178E6"/>
    <w:rsid w:val="3C571C7D"/>
    <w:rsid w:val="3D0E4151"/>
    <w:rsid w:val="4128600C"/>
    <w:rsid w:val="43BE7DFB"/>
    <w:rsid w:val="444B188B"/>
    <w:rsid w:val="48891EF4"/>
    <w:rsid w:val="4BDB34FD"/>
    <w:rsid w:val="4CE53E2D"/>
    <w:rsid w:val="542B431C"/>
    <w:rsid w:val="58986C93"/>
    <w:rsid w:val="59ED6895"/>
    <w:rsid w:val="60F11542"/>
    <w:rsid w:val="62BF02F2"/>
    <w:rsid w:val="694261D7"/>
    <w:rsid w:val="6CA55C60"/>
    <w:rsid w:val="784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0D08A-6B61-4DDD-BA24-E6D4EDF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val="en-US" w:eastAsia="zh-CN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EastAsia" w:hAnsiTheme="minorHAnsi" w:cstheme="minorBidi"/>
      <w:lang w:val="en-US" w:eastAsia="zh-CN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UyteHipercze">
    <w:name w:val="FollowedHyperlink"/>
    <w:basedOn w:val="Domylnaczcionkaakapitu"/>
    <w:rsid w:val="00932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i.org/dam/jcr:33c1166b-011d-4d37-82c3-a9b9c331160d/Podr%C4%99cznik%20prowadzenia%20spotka%C5%84%20-%20Rozmowy%20przy%20wsp%C3%B3lnym%20stole.pdf" TargetMode="External"/><Relationship Id="rId13" Type="http://schemas.openxmlformats.org/officeDocument/2006/relationships/hyperlink" Target="https://mnw.org.pl/tematy/jak-rozmawia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nw.org.pl/biblioteczka/rownosc-malzenska-przewodni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nw.org.pl/biblioteczka/plakat-prawa-osob-lgbt-w-ue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nw.org.pl/orientujsi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Bogna Mrozowska</cp:lastModifiedBy>
  <cp:revision>2</cp:revision>
  <dcterms:created xsi:type="dcterms:W3CDTF">2020-04-16T13:44:00Z</dcterms:created>
  <dcterms:modified xsi:type="dcterms:W3CDTF">2020-04-16T13:44:00Z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